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w w:val="100"/>
          <w:sz w:val="36"/>
          <w:szCs w:val="36"/>
          <w:lang w:val="en-US" w:eastAsia="zh-CN"/>
        </w:rPr>
      </w:pPr>
      <w:r>
        <w:rPr>
          <w:rFonts w:hint="eastAsia" w:ascii="方正小标宋_GBK" w:hAnsi="方正小标宋_GBK" w:eastAsia="方正小标宋_GBK" w:cs="方正小标宋_GBK"/>
          <w:b w:val="0"/>
          <w:bCs w:val="0"/>
          <w:w w:val="100"/>
          <w:sz w:val="36"/>
          <w:szCs w:val="36"/>
          <w:lang w:val="en-US" w:eastAsia="zh-CN"/>
        </w:rPr>
        <w:t xml:space="preserve"> 中国人民银行蚌埠市分行现行有效的规范性文件目录</w:t>
      </w:r>
    </w:p>
    <w:tbl>
      <w:tblPr>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9"/>
        <w:gridCol w:w="5274"/>
        <w:gridCol w:w="2434"/>
      </w:tblGrid>
      <w:tr>
        <w:trPr>
          <w:jc w:val="center"/>
        </w:trPr>
        <w:tc>
          <w:tcPr>
            <w:tcW w:w="90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5274"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规范性文件名称</w:t>
            </w:r>
          </w:p>
        </w:tc>
        <w:tc>
          <w:tcPr>
            <w:tcW w:w="2434"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文号</w:t>
            </w:r>
          </w:p>
        </w:tc>
      </w:tr>
      <w:tr>
        <w:trPr>
          <w:trHeight w:val="0" w:hRule="atLeast"/>
          <w:jc w:val="center"/>
        </w:trPr>
        <w:tc>
          <w:tcPr>
            <w:tcW w:w="909" w:type="dxa"/>
            <w:vAlign w:val="center"/>
          </w:tcPr>
          <w:p>
            <w:pPr>
              <w:widowControl w:val="0"/>
              <w:wordWrap/>
              <w:adjustRightInd/>
              <w:snapToGrid/>
              <w:spacing w:line="400" w:lineRule="exact"/>
              <w:ind w:left="0" w:leftChars="0"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1</w:t>
            </w:r>
          </w:p>
        </w:tc>
        <w:tc>
          <w:tcPr>
            <w:tcW w:w="5274" w:type="dxa"/>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kern w:val="2"/>
                <w:sz w:val="24"/>
                <w:szCs w:val="24"/>
                <w:lang w:eastAsia="zh-CN"/>
              </w:rPr>
            </w:pPr>
            <w:r>
              <w:rPr>
                <w:rFonts w:hint="eastAsia" w:ascii="宋体" w:hAnsi="宋体" w:eastAsia="宋体" w:cs="宋体"/>
                <w:color w:val="auto"/>
                <w:kern w:val="2"/>
                <w:sz w:val="24"/>
                <w:szCs w:val="24"/>
                <w:lang w:eastAsia="zh-CN"/>
              </w:rPr>
              <w:t>中国人民银行蚌埠市中心支行</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蚌埠市财政局</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蚌埠市人力资源和社会保障局关于印发《蚌埠市创业担保贷款实施办法》的通知</w:t>
            </w:r>
          </w:p>
        </w:tc>
        <w:tc>
          <w:tcPr>
            <w:tcW w:w="2434" w:type="dxa"/>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kern w:val="2"/>
                <w:sz w:val="24"/>
                <w:szCs w:val="24"/>
                <w:lang w:eastAsia="zh-CN"/>
              </w:rPr>
            </w:pPr>
            <w:r>
              <w:rPr>
                <w:rFonts w:hint="eastAsia" w:ascii="宋体" w:hAnsi="宋体" w:eastAsia="宋体" w:cs="宋体"/>
                <w:color w:val="auto"/>
                <w:kern w:val="2"/>
                <w:sz w:val="24"/>
                <w:szCs w:val="24"/>
                <w:lang w:eastAsia="zh-CN"/>
              </w:rPr>
              <w:t>蚌银发〔201</w:t>
            </w: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24号</w:t>
            </w:r>
          </w:p>
        </w:tc>
      </w:tr>
    </w:tbl>
    <w:p/>
    <w:p/>
    <w:p/>
    <w:p/>
    <w:p/>
    <w:p/>
    <w:p/>
    <w:p/>
    <w:p/>
    <w:p/>
    <w:p/>
    <w:p/>
    <w:p/>
    <w:p/>
    <w:p/>
    <w:p/>
    <w:p/>
    <w:p/>
    <w:p/>
    <w:p/>
    <w:p/>
    <w:p/>
    <w:p/>
    <w:p/>
    <w:p/>
    <w:p/>
    <w:p/>
    <w:p/>
    <w:p/>
    <w:p/>
    <w:p/>
    <w:p/>
    <w:p/>
    <w:p/>
    <w:p/>
    <w:p/>
    <w:p/>
    <w:p/>
    <w:p/>
    <w:p/>
    <w:p/>
    <w:p/>
    <w:p/>
    <w:p>
      <w:pPr>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w w:val="100"/>
          <w:sz w:val="36"/>
          <w:szCs w:val="36"/>
          <w:lang w:val="en-US" w:eastAsia="zh-CN"/>
        </w:rPr>
      </w:pPr>
      <w:r>
        <w:rPr>
          <w:rFonts w:hint="eastAsia" w:ascii="方正小标宋_GBK" w:hAnsi="方正小标宋_GBK" w:eastAsia="方正小标宋_GBK" w:cs="方正小标宋_GBK"/>
          <w:b w:val="0"/>
          <w:bCs w:val="0"/>
          <w:w w:val="100"/>
          <w:sz w:val="36"/>
          <w:szCs w:val="36"/>
          <w:lang w:val="en-US" w:eastAsia="zh-CN"/>
        </w:rPr>
        <w:t>中国人民银行蚌埠市分行废止的规范性文件目录</w:t>
      </w:r>
    </w:p>
    <w:tbl>
      <w:tblPr>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9"/>
        <w:gridCol w:w="5274"/>
        <w:gridCol w:w="2434"/>
      </w:tblGrid>
      <w:tr>
        <w:trPr>
          <w:jc w:val="center"/>
        </w:trPr>
        <w:tc>
          <w:tcPr>
            <w:tcW w:w="90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5274"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规范性文件名称</w:t>
            </w:r>
          </w:p>
        </w:tc>
        <w:tc>
          <w:tcPr>
            <w:tcW w:w="2434"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文号</w:t>
            </w:r>
          </w:p>
        </w:tc>
      </w:tr>
      <w:tr>
        <w:trPr>
          <w:trHeight w:val="0" w:hRule="atLeast"/>
          <w:jc w:val="center"/>
        </w:trPr>
        <w:tc>
          <w:tcPr>
            <w:tcW w:w="909" w:type="dxa"/>
            <w:vAlign w:val="center"/>
          </w:tcPr>
          <w:p>
            <w:pPr>
              <w:widowControl w:val="0"/>
              <w:wordWrap/>
              <w:adjustRightInd/>
              <w:snapToGrid/>
              <w:spacing w:line="400" w:lineRule="exact"/>
              <w:ind w:left="0" w:leftChars="0"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cs="宋体"/>
                <w:sz w:val="24"/>
                <w:szCs w:val="24"/>
                <w:lang w:val="en-US" w:eastAsia="zh-CN"/>
              </w:rPr>
              <w:t>1</w:t>
            </w:r>
          </w:p>
        </w:tc>
        <w:tc>
          <w:tcPr>
            <w:tcW w:w="5274" w:type="dxa"/>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kern w:val="2"/>
                <w:sz w:val="24"/>
                <w:szCs w:val="24"/>
                <w:lang w:eastAsia="zh-CN"/>
              </w:rPr>
            </w:pPr>
            <w:r>
              <w:rPr>
                <w:rFonts w:hint="eastAsia" w:ascii="宋体" w:hAnsi="宋体" w:eastAsia="宋体" w:cs="宋体"/>
                <w:color w:val="auto"/>
                <w:kern w:val="2"/>
                <w:sz w:val="24"/>
                <w:szCs w:val="24"/>
                <w:lang w:eastAsia="zh-CN"/>
              </w:rPr>
              <w:t>中国人民银行蚌埠市中心支行 蚌埠市商务和外事局关于加强蚌埠市典当行反洗钱和反恐怖融资工作的通知</w:t>
            </w:r>
          </w:p>
        </w:tc>
        <w:tc>
          <w:tcPr>
            <w:tcW w:w="2434" w:type="dxa"/>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kern w:val="2"/>
                <w:sz w:val="24"/>
                <w:szCs w:val="24"/>
                <w:lang w:eastAsia="zh-CN"/>
              </w:rPr>
            </w:pPr>
            <w:r>
              <w:rPr>
                <w:rFonts w:hint="eastAsia" w:ascii="宋体" w:hAnsi="宋体" w:eastAsia="宋体" w:cs="宋体"/>
                <w:color w:val="auto"/>
                <w:kern w:val="2"/>
                <w:sz w:val="24"/>
                <w:szCs w:val="24"/>
                <w:lang w:eastAsia="zh-CN"/>
              </w:rPr>
              <w:t>蚌银发〔2017〕49号</w:t>
            </w:r>
          </w:p>
        </w:tc>
      </w:tr>
      <w:tr>
        <w:trPr>
          <w:trHeight w:val="0" w:hRule="atLeast"/>
          <w:jc w:val="center"/>
        </w:trPr>
        <w:tc>
          <w:tcPr>
            <w:tcW w:w="909" w:type="dxa"/>
            <w:vAlign w:val="center"/>
          </w:tcPr>
          <w:p>
            <w:pPr>
              <w:widowControl w:val="0"/>
              <w:wordWrap/>
              <w:adjustRightInd/>
              <w:snapToGrid/>
              <w:spacing w:line="400" w:lineRule="exact"/>
              <w:ind w:left="0" w:leftChars="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w:t>
            </w:r>
          </w:p>
        </w:tc>
        <w:tc>
          <w:tcPr>
            <w:tcW w:w="5274" w:type="dxa"/>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中国人民银行怀远县支行 怀远县人民政府金融工作办公室 怀远县扶贫开发领导小组办公室关于印发《怀远县扶贫小额信贷风险补偿金管理办法》的通知</w:t>
            </w:r>
            <w:r>
              <w:rPr>
                <w:rFonts w:hint="eastAsia" w:ascii="宋体" w:hAnsi="宋体" w:eastAsia="宋体" w:cs="宋体"/>
                <w:color w:val="auto"/>
                <w:kern w:val="2"/>
                <w:sz w:val="24"/>
                <w:szCs w:val="24"/>
                <w:lang w:eastAsia="zh-CN"/>
              </w:rPr>
              <w:tab/>
            </w:r>
          </w:p>
        </w:tc>
        <w:tc>
          <w:tcPr>
            <w:tcW w:w="2434" w:type="dxa"/>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怀银发〔2017〕20号</w:t>
            </w:r>
          </w:p>
        </w:tc>
      </w:tr>
    </w:tbl>
    <w:p>
      <w:bookmarkStart w:id="0" w:name="_GoBack"/>
      <w:bookmarkEnd w:id="0"/>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2022-12-27T02:43:00Z</dcterms:created>
  <cp:lastModifiedBy>张清新</cp:lastModifiedBy>
  <dcterms:modified xsi:type="dcterms:W3CDTF">2023-12-18T01:51:19Z</dcterms:modified>
  <dc:title> 中国人民银行蚌埠市中心支行现行有效的规范性文件目录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